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p>
    <w:tbl>
      <w:tblPr>
        <w:tblStyle w:val="4"/>
        <w:tblW w:w="10946" w:type="dxa"/>
        <w:jc w:val="center"/>
        <w:tblLayout w:type="fixed"/>
        <w:tblCellMar>
          <w:top w:w="0" w:type="dxa"/>
          <w:left w:w="108" w:type="dxa"/>
          <w:bottom w:w="0" w:type="dxa"/>
          <w:right w:w="108" w:type="dxa"/>
        </w:tblCellMar>
      </w:tblPr>
      <w:tblGrid>
        <w:gridCol w:w="1130"/>
        <w:gridCol w:w="752"/>
        <w:gridCol w:w="866"/>
        <w:gridCol w:w="685"/>
        <w:gridCol w:w="262"/>
        <w:gridCol w:w="2006"/>
        <w:gridCol w:w="709"/>
        <w:gridCol w:w="401"/>
        <w:gridCol w:w="260"/>
        <w:gridCol w:w="874"/>
        <w:gridCol w:w="167"/>
        <w:gridCol w:w="249"/>
        <w:gridCol w:w="317"/>
        <w:gridCol w:w="973"/>
        <w:gridCol w:w="444"/>
        <w:gridCol w:w="851"/>
      </w:tblGrid>
      <w:tr>
        <w:tblPrEx>
          <w:tblCellMar>
            <w:top w:w="0" w:type="dxa"/>
            <w:left w:w="108" w:type="dxa"/>
            <w:bottom w:w="0" w:type="dxa"/>
            <w:right w:w="108" w:type="dxa"/>
          </w:tblCellMar>
        </w:tblPrEx>
        <w:trPr>
          <w:trHeight w:val="439" w:hRule="atLeast"/>
          <w:jc w:val="center"/>
        </w:trPr>
        <w:tc>
          <w:tcPr>
            <w:tcW w:w="10946" w:type="dxa"/>
            <w:gridSpan w:val="16"/>
            <w:tcBorders>
              <w:top w:val="nil"/>
              <w:left w:val="nil"/>
              <w:bottom w:val="nil"/>
              <w:right w:val="nil"/>
            </w:tcBorders>
            <w:vAlign w:val="center"/>
          </w:tcPr>
          <w:p>
            <w:pPr>
              <w:widowControl/>
              <w:ind w:firstLine="2800" w:firstLineChars="700"/>
              <w:rPr>
                <w:rFonts w:ascii="方正小标宋简体" w:hAnsi="宋体" w:eastAsia="方正小标宋简体" w:cs="宋体"/>
                <w:kern w:val="0"/>
                <w:sz w:val="36"/>
                <w:szCs w:val="36"/>
              </w:rPr>
            </w:pPr>
            <w:r>
              <w:rPr>
                <w:rFonts w:hint="eastAsia" w:ascii="方正小标宋简体" w:hAnsi="宋体" w:eastAsia="方正小标宋简体" w:cs="宋体"/>
                <w:kern w:val="0"/>
                <w:sz w:val="40"/>
                <w:szCs w:val="40"/>
              </w:rPr>
              <w:t>2022年度部门整体绩效自评表</w:t>
            </w:r>
          </w:p>
        </w:tc>
      </w:tr>
      <w:tr>
        <w:tblPrEx>
          <w:tblCellMar>
            <w:top w:w="0" w:type="dxa"/>
            <w:left w:w="108" w:type="dxa"/>
            <w:bottom w:w="0" w:type="dxa"/>
            <w:right w:w="108" w:type="dxa"/>
          </w:tblCellMar>
        </w:tblPrEx>
        <w:trPr>
          <w:trHeight w:val="361" w:hRule="atLeast"/>
          <w:jc w:val="center"/>
        </w:trPr>
        <w:tc>
          <w:tcPr>
            <w:tcW w:w="188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部门名称</w:t>
            </w:r>
          </w:p>
        </w:tc>
        <w:tc>
          <w:tcPr>
            <w:tcW w:w="381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玉林市北部湾经济区规划建设管理办公室</w:t>
            </w:r>
          </w:p>
        </w:tc>
        <w:tc>
          <w:tcPr>
            <w:tcW w:w="241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部门编码</w:t>
            </w:r>
          </w:p>
        </w:tc>
        <w:tc>
          <w:tcPr>
            <w:tcW w:w="283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324001</w:t>
            </w:r>
          </w:p>
        </w:tc>
      </w:tr>
      <w:tr>
        <w:tblPrEx>
          <w:tblCellMar>
            <w:top w:w="0" w:type="dxa"/>
            <w:left w:w="108" w:type="dxa"/>
            <w:bottom w:w="0" w:type="dxa"/>
            <w:right w:w="108" w:type="dxa"/>
          </w:tblCellMar>
        </w:tblPrEx>
        <w:trPr>
          <w:trHeight w:val="571" w:hRule="exact"/>
          <w:jc w:val="center"/>
        </w:trPr>
        <w:tc>
          <w:tcPr>
            <w:tcW w:w="188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部门预算安排资金（万元）</w:t>
            </w:r>
          </w:p>
        </w:tc>
        <w:tc>
          <w:tcPr>
            <w:tcW w:w="1813"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kern w:val="0"/>
                <w:sz w:val="22"/>
              </w:rPr>
            </w:pPr>
          </w:p>
        </w:tc>
        <w:tc>
          <w:tcPr>
            <w:tcW w:w="2006"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ascii="宋体" w:hAnsi="宋体" w:cs="宋体"/>
                <w:b/>
                <w:bCs/>
                <w:kern w:val="0"/>
                <w:sz w:val="22"/>
              </w:rPr>
            </w:pPr>
            <w:r>
              <w:rPr>
                <w:rFonts w:hint="eastAsia" w:ascii="仿宋_GB2312" w:hAnsi="Arial" w:eastAsia="仿宋_GB2312" w:cs="仿宋_GB2312"/>
                <w:b/>
                <w:color w:val="000000"/>
                <w:kern w:val="0"/>
                <w:sz w:val="20"/>
                <w:szCs w:val="20"/>
              </w:rPr>
              <w:t>年初预算数</w:t>
            </w:r>
          </w:p>
        </w:tc>
        <w:tc>
          <w:tcPr>
            <w:tcW w:w="1370" w:type="dxa"/>
            <w:gridSpan w:val="3"/>
            <w:tcBorders>
              <w:top w:val="single" w:color="auto" w:sz="4" w:space="0"/>
              <w:left w:val="nil"/>
              <w:bottom w:val="single" w:color="auto" w:sz="4" w:space="0"/>
              <w:right w:val="single" w:color="000000" w:sz="4" w:space="0"/>
            </w:tcBorders>
            <w:vAlign w:val="center"/>
          </w:tcPr>
          <w:p>
            <w:pPr>
              <w:widowControl/>
              <w:spacing w:line="240" w:lineRule="exact"/>
              <w:jc w:val="center"/>
              <w:textAlignment w:val="center"/>
              <w:rPr>
                <w:rFonts w:ascii="宋体" w:hAnsi="宋体" w:cs="宋体"/>
                <w:kern w:val="0"/>
                <w:sz w:val="22"/>
              </w:rPr>
            </w:pPr>
            <w:r>
              <w:rPr>
                <w:rFonts w:hint="eastAsia" w:ascii="仿宋_GB2312" w:hAnsi="Arial" w:eastAsia="仿宋_GB2312" w:cs="仿宋_GB2312"/>
                <w:b/>
                <w:color w:val="000000"/>
                <w:kern w:val="0"/>
                <w:sz w:val="20"/>
                <w:szCs w:val="20"/>
              </w:rPr>
              <w:t>年中预算调整数</w:t>
            </w:r>
          </w:p>
        </w:tc>
        <w:tc>
          <w:tcPr>
            <w:tcW w:w="1290" w:type="dxa"/>
            <w:gridSpan w:val="3"/>
            <w:tcBorders>
              <w:top w:val="single" w:color="auto" w:sz="4" w:space="0"/>
              <w:left w:val="nil"/>
              <w:bottom w:val="single" w:color="auto" w:sz="4" w:space="0"/>
              <w:right w:val="single" w:color="000000" w:sz="4" w:space="0"/>
            </w:tcBorders>
            <w:vAlign w:val="center"/>
          </w:tcPr>
          <w:p>
            <w:pPr>
              <w:widowControl/>
              <w:spacing w:line="240" w:lineRule="exact"/>
              <w:jc w:val="center"/>
              <w:textAlignment w:val="center"/>
              <w:rPr>
                <w:rFonts w:ascii="宋体" w:hAnsi="宋体" w:cs="宋体"/>
                <w:kern w:val="0"/>
                <w:sz w:val="22"/>
              </w:rPr>
            </w:pPr>
            <w:r>
              <w:rPr>
                <w:rFonts w:hint="eastAsia" w:ascii="仿宋_GB2312" w:hAnsi="Arial" w:eastAsia="仿宋_GB2312" w:cs="仿宋_GB2312"/>
                <w:b/>
                <w:color w:val="000000"/>
                <w:kern w:val="0"/>
                <w:sz w:val="20"/>
                <w:szCs w:val="20"/>
              </w:rPr>
              <w:t>调整后预算数</w:t>
            </w:r>
          </w:p>
        </w:tc>
        <w:tc>
          <w:tcPr>
            <w:tcW w:w="1290" w:type="dxa"/>
            <w:gridSpan w:val="2"/>
            <w:tcBorders>
              <w:top w:val="single" w:color="auto" w:sz="4" w:space="0"/>
              <w:left w:val="nil"/>
              <w:bottom w:val="single" w:color="auto" w:sz="4" w:space="0"/>
              <w:right w:val="single" w:color="000000" w:sz="4" w:space="0"/>
            </w:tcBorders>
            <w:vAlign w:val="center"/>
          </w:tcPr>
          <w:p>
            <w:pPr>
              <w:widowControl/>
              <w:spacing w:line="240" w:lineRule="exact"/>
              <w:jc w:val="center"/>
              <w:textAlignment w:val="center"/>
              <w:rPr>
                <w:rFonts w:ascii="宋体" w:hAnsi="宋体" w:cs="宋体"/>
                <w:kern w:val="0"/>
                <w:sz w:val="22"/>
              </w:rPr>
            </w:pPr>
            <w:r>
              <w:rPr>
                <w:rFonts w:hint="eastAsia" w:ascii="仿宋_GB2312" w:hAnsi="Arial" w:eastAsia="仿宋_GB2312" w:cs="仿宋_GB2312"/>
                <w:b/>
                <w:color w:val="000000"/>
                <w:kern w:val="0"/>
                <w:szCs w:val="21"/>
              </w:rPr>
              <w:t>实际支出数</w:t>
            </w:r>
          </w:p>
        </w:tc>
        <w:tc>
          <w:tcPr>
            <w:tcW w:w="1295" w:type="dxa"/>
            <w:gridSpan w:val="2"/>
            <w:tcBorders>
              <w:top w:val="single" w:color="auto" w:sz="4" w:space="0"/>
              <w:left w:val="nil"/>
              <w:bottom w:val="single" w:color="auto" w:sz="4" w:space="0"/>
              <w:right w:val="single" w:color="000000" w:sz="4" w:space="0"/>
            </w:tcBorders>
            <w:vAlign w:val="center"/>
          </w:tcPr>
          <w:p>
            <w:pPr>
              <w:widowControl/>
              <w:spacing w:line="240" w:lineRule="exact"/>
              <w:jc w:val="center"/>
              <w:textAlignment w:val="center"/>
              <w:rPr>
                <w:rFonts w:ascii="宋体" w:hAnsi="宋体" w:cs="宋体"/>
                <w:kern w:val="0"/>
                <w:sz w:val="22"/>
              </w:rPr>
            </w:pPr>
            <w:r>
              <w:rPr>
                <w:rFonts w:hint="eastAsia" w:ascii="仿宋_GB2312" w:hAnsi="Arial" w:eastAsia="仿宋_GB2312" w:cs="仿宋_GB2312"/>
                <w:b/>
                <w:color w:val="000000"/>
                <w:kern w:val="0"/>
                <w:sz w:val="18"/>
                <w:szCs w:val="18"/>
              </w:rPr>
              <w:t>预算执行率（%）</w:t>
            </w:r>
          </w:p>
        </w:tc>
      </w:tr>
      <w:tr>
        <w:tblPrEx>
          <w:tblCellMar>
            <w:top w:w="0" w:type="dxa"/>
            <w:left w:w="108" w:type="dxa"/>
            <w:bottom w:w="0" w:type="dxa"/>
            <w:right w:w="108" w:type="dxa"/>
          </w:tblCellMar>
        </w:tblPrEx>
        <w:trPr>
          <w:trHeight w:val="369"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813"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6"/>
                <w:szCs w:val="16"/>
              </w:rPr>
            </w:pPr>
            <w:r>
              <w:rPr>
                <w:rFonts w:hint="eastAsia" w:ascii="宋体" w:hAnsi="宋体" w:cs="宋体"/>
                <w:kern w:val="0"/>
                <w:sz w:val="16"/>
                <w:szCs w:val="16"/>
              </w:rPr>
              <w:t>合计：</w:t>
            </w:r>
          </w:p>
        </w:tc>
        <w:tc>
          <w:tcPr>
            <w:tcW w:w="200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195.25</w:t>
            </w:r>
          </w:p>
        </w:tc>
        <w:tc>
          <w:tcPr>
            <w:tcW w:w="137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1180.3534</w:t>
            </w:r>
          </w:p>
        </w:tc>
        <w:tc>
          <w:tcPr>
            <w:tcW w:w="129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1375.619</w:t>
            </w:r>
          </w:p>
        </w:tc>
        <w:tc>
          <w:tcPr>
            <w:tcW w:w="129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702.49</w:t>
            </w:r>
          </w:p>
        </w:tc>
        <w:tc>
          <w:tcPr>
            <w:tcW w:w="1295"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51.07%</w:t>
            </w:r>
          </w:p>
        </w:tc>
      </w:tr>
      <w:tr>
        <w:tblPrEx>
          <w:tblCellMar>
            <w:top w:w="0" w:type="dxa"/>
            <w:left w:w="108" w:type="dxa"/>
            <w:bottom w:w="0" w:type="dxa"/>
            <w:right w:w="108" w:type="dxa"/>
          </w:tblCellMar>
        </w:tblPrEx>
        <w:trPr>
          <w:trHeight w:val="369"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813"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6"/>
                <w:szCs w:val="16"/>
              </w:rPr>
            </w:pPr>
            <w:r>
              <w:rPr>
                <w:rFonts w:hint="eastAsia" w:ascii="宋体" w:hAnsi="宋体" w:cs="宋体"/>
                <w:kern w:val="0"/>
                <w:sz w:val="16"/>
                <w:szCs w:val="16"/>
              </w:rPr>
              <w:t xml:space="preserve">    其中：一般公共预算拨款</w:t>
            </w:r>
          </w:p>
        </w:tc>
        <w:tc>
          <w:tcPr>
            <w:tcW w:w="200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195.25</w:t>
            </w:r>
          </w:p>
        </w:tc>
        <w:tc>
          <w:tcPr>
            <w:tcW w:w="137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1180.3534</w:t>
            </w:r>
          </w:p>
        </w:tc>
        <w:tc>
          <w:tcPr>
            <w:tcW w:w="129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1375.619</w:t>
            </w:r>
          </w:p>
        </w:tc>
        <w:tc>
          <w:tcPr>
            <w:tcW w:w="129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702.49</w:t>
            </w:r>
          </w:p>
        </w:tc>
        <w:tc>
          <w:tcPr>
            <w:tcW w:w="1295"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51.07%</w:t>
            </w:r>
          </w:p>
        </w:tc>
      </w:tr>
      <w:tr>
        <w:tblPrEx>
          <w:tblCellMar>
            <w:top w:w="0" w:type="dxa"/>
            <w:left w:w="108" w:type="dxa"/>
            <w:bottom w:w="0" w:type="dxa"/>
            <w:right w:w="108" w:type="dxa"/>
          </w:tblCellMar>
        </w:tblPrEx>
        <w:trPr>
          <w:trHeight w:val="369"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813"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6"/>
                <w:szCs w:val="16"/>
              </w:rPr>
            </w:pPr>
            <w:r>
              <w:rPr>
                <w:rFonts w:hint="eastAsia" w:ascii="宋体" w:hAnsi="宋体" w:cs="宋体"/>
                <w:kern w:val="0"/>
                <w:sz w:val="16"/>
                <w:szCs w:val="16"/>
              </w:rPr>
              <w:t xml:space="preserve">          政府性基金</w:t>
            </w:r>
          </w:p>
        </w:tc>
        <w:tc>
          <w:tcPr>
            <w:tcW w:w="200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rPr>
            </w:pPr>
          </w:p>
        </w:tc>
        <w:tc>
          <w:tcPr>
            <w:tcW w:w="137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　</w:t>
            </w:r>
          </w:p>
        </w:tc>
        <w:tc>
          <w:tcPr>
            <w:tcW w:w="129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p>
        </w:tc>
        <w:tc>
          <w:tcPr>
            <w:tcW w:w="129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p>
        </w:tc>
        <w:tc>
          <w:tcPr>
            <w:tcW w:w="1295"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369"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813"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6"/>
                <w:szCs w:val="16"/>
              </w:rPr>
            </w:pPr>
            <w:r>
              <w:rPr>
                <w:rFonts w:hint="eastAsia" w:ascii="宋体" w:hAnsi="宋体" w:cs="宋体"/>
                <w:kern w:val="0"/>
                <w:sz w:val="16"/>
                <w:szCs w:val="16"/>
              </w:rPr>
              <w:t xml:space="preserve">    国有资本经营预算</w:t>
            </w:r>
          </w:p>
        </w:tc>
        <w:tc>
          <w:tcPr>
            <w:tcW w:w="200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rPr>
            </w:pPr>
          </w:p>
        </w:tc>
        <w:tc>
          <w:tcPr>
            <w:tcW w:w="137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　</w:t>
            </w:r>
          </w:p>
        </w:tc>
        <w:tc>
          <w:tcPr>
            <w:tcW w:w="129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p>
        </w:tc>
        <w:tc>
          <w:tcPr>
            <w:tcW w:w="129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p>
        </w:tc>
        <w:tc>
          <w:tcPr>
            <w:tcW w:w="1295"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369"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813"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6"/>
                <w:szCs w:val="16"/>
              </w:rPr>
            </w:pPr>
            <w:r>
              <w:rPr>
                <w:rFonts w:hint="eastAsia" w:ascii="宋体" w:hAnsi="宋体" w:cs="宋体"/>
                <w:kern w:val="0"/>
                <w:sz w:val="16"/>
                <w:szCs w:val="16"/>
              </w:rPr>
              <w:t xml:space="preserve">          其他资金</w:t>
            </w:r>
          </w:p>
        </w:tc>
        <w:tc>
          <w:tcPr>
            <w:tcW w:w="200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rPr>
            </w:pPr>
          </w:p>
        </w:tc>
        <w:tc>
          <w:tcPr>
            <w:tcW w:w="137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　</w:t>
            </w:r>
          </w:p>
        </w:tc>
        <w:tc>
          <w:tcPr>
            <w:tcW w:w="129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p>
        </w:tc>
        <w:tc>
          <w:tcPr>
            <w:tcW w:w="129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p>
        </w:tc>
        <w:tc>
          <w:tcPr>
            <w:tcW w:w="1295"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574" w:hRule="exact"/>
          <w:jc w:val="center"/>
        </w:trPr>
        <w:tc>
          <w:tcPr>
            <w:tcW w:w="188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部门职能概述（逐条填写，每条控制在150字以内。）</w:t>
            </w:r>
          </w:p>
        </w:tc>
        <w:tc>
          <w:tcPr>
            <w:tcW w:w="86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职能1</w:t>
            </w:r>
          </w:p>
        </w:tc>
        <w:tc>
          <w:tcPr>
            <w:tcW w:w="8198" w:type="dxa"/>
            <w:gridSpan w:val="13"/>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负责组织拟订市北部湾经济区重大发展战略、发展规划和重大政策，并组织实施。协调玉林市有关部门和园区，共同推进市北部湾经济区规划建设管理工作。</w:t>
            </w:r>
          </w:p>
        </w:tc>
      </w:tr>
      <w:tr>
        <w:tblPrEx>
          <w:tblCellMar>
            <w:top w:w="0" w:type="dxa"/>
            <w:left w:w="108" w:type="dxa"/>
            <w:bottom w:w="0" w:type="dxa"/>
            <w:right w:w="108" w:type="dxa"/>
          </w:tblCellMar>
        </w:tblPrEx>
        <w:trPr>
          <w:trHeight w:val="569"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86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职能2</w:t>
            </w:r>
          </w:p>
        </w:tc>
        <w:tc>
          <w:tcPr>
            <w:tcW w:w="8198" w:type="dxa"/>
            <w:gridSpan w:val="13"/>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负责组织拟订市北部湾经济区产业发展规划和政策。牵头协调市北部湾经济区重大基础设施和重大产业布局，推进有关项目建设。指导市北部湾经济区重大产业招商工作。</w:t>
            </w:r>
          </w:p>
        </w:tc>
      </w:tr>
      <w:tr>
        <w:tblPrEx>
          <w:tblCellMar>
            <w:top w:w="0" w:type="dxa"/>
            <w:left w:w="108" w:type="dxa"/>
            <w:bottom w:w="0" w:type="dxa"/>
            <w:right w:w="108" w:type="dxa"/>
          </w:tblCellMar>
        </w:tblPrEx>
        <w:trPr>
          <w:trHeight w:val="369"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86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职能3</w:t>
            </w:r>
          </w:p>
        </w:tc>
        <w:tc>
          <w:tcPr>
            <w:tcW w:w="8198" w:type="dxa"/>
            <w:gridSpan w:val="13"/>
            <w:tcBorders>
              <w:top w:val="single" w:color="auto" w:sz="4" w:space="0"/>
              <w:left w:val="nil"/>
              <w:bottom w:val="single" w:color="auto" w:sz="4" w:space="0"/>
              <w:right w:val="single" w:color="000000"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统筹指导市北部湾经济区重点产业园区申报及规划建设。</w:t>
            </w:r>
          </w:p>
        </w:tc>
      </w:tr>
      <w:tr>
        <w:tblPrEx>
          <w:tblCellMar>
            <w:top w:w="0" w:type="dxa"/>
            <w:left w:w="108" w:type="dxa"/>
            <w:bottom w:w="0" w:type="dxa"/>
            <w:right w:w="108" w:type="dxa"/>
          </w:tblCellMar>
        </w:tblPrEx>
        <w:trPr>
          <w:trHeight w:val="467"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86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职能4</w:t>
            </w:r>
          </w:p>
        </w:tc>
        <w:tc>
          <w:tcPr>
            <w:tcW w:w="8198" w:type="dxa"/>
            <w:gridSpan w:val="13"/>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统筹推进铁山港东岸头划建设。推动港口重大资源整合，重大项目建设和港口管理体制创新。</w:t>
            </w:r>
          </w:p>
        </w:tc>
      </w:tr>
      <w:tr>
        <w:tblPrEx>
          <w:tblCellMar>
            <w:top w:w="0" w:type="dxa"/>
            <w:left w:w="108" w:type="dxa"/>
            <w:bottom w:w="0" w:type="dxa"/>
            <w:right w:w="108" w:type="dxa"/>
          </w:tblCellMar>
        </w:tblPrEx>
        <w:trPr>
          <w:trHeight w:val="675"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86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职能5</w:t>
            </w:r>
          </w:p>
        </w:tc>
        <w:tc>
          <w:tcPr>
            <w:tcW w:w="8198" w:type="dxa"/>
            <w:gridSpan w:val="13"/>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参与推进北部湾经济区国际陆海贸易新通道建设，参与北湾经济区物流一体化发展和多式联运建设及相关发展规划和政策的制定工作。</w:t>
            </w:r>
          </w:p>
        </w:tc>
      </w:tr>
      <w:tr>
        <w:tblPrEx>
          <w:tblCellMar>
            <w:top w:w="0" w:type="dxa"/>
            <w:left w:w="108" w:type="dxa"/>
            <w:bottom w:w="0" w:type="dxa"/>
            <w:right w:w="108" w:type="dxa"/>
          </w:tblCellMar>
        </w:tblPrEx>
        <w:trPr>
          <w:trHeight w:val="575"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86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职能6</w:t>
            </w:r>
          </w:p>
        </w:tc>
        <w:tc>
          <w:tcPr>
            <w:tcW w:w="8198" w:type="dxa"/>
            <w:gridSpan w:val="13"/>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组织申报及参与管理市北部湾经济区重大发展专项资金。参与管理涉及市北湾经济区的其他资金和产业发展基金。参与推进市北部湾经济区投融资创新。</w:t>
            </w:r>
          </w:p>
        </w:tc>
      </w:tr>
      <w:tr>
        <w:tblPrEx>
          <w:tblCellMar>
            <w:top w:w="0" w:type="dxa"/>
            <w:left w:w="108" w:type="dxa"/>
            <w:bottom w:w="0" w:type="dxa"/>
            <w:right w:w="108" w:type="dxa"/>
          </w:tblCellMar>
        </w:tblPrEx>
        <w:trPr>
          <w:trHeight w:val="450"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86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职能7</w:t>
            </w:r>
          </w:p>
        </w:tc>
        <w:tc>
          <w:tcPr>
            <w:tcW w:w="8198" w:type="dxa"/>
            <w:gridSpan w:val="13"/>
            <w:tcBorders>
              <w:top w:val="single" w:color="auto" w:sz="4" w:space="0"/>
              <w:left w:val="nil"/>
              <w:bottom w:val="single" w:color="auto" w:sz="4" w:space="0"/>
              <w:right w:val="single" w:color="000000"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负责市北部湾经济区重大人才工作，参与推进市北部湾经济区人力资源开发。</w:t>
            </w:r>
          </w:p>
        </w:tc>
      </w:tr>
      <w:tr>
        <w:tblPrEx>
          <w:tblCellMar>
            <w:top w:w="0" w:type="dxa"/>
            <w:left w:w="108" w:type="dxa"/>
            <w:bottom w:w="0" w:type="dxa"/>
            <w:right w:w="108" w:type="dxa"/>
          </w:tblCellMar>
        </w:tblPrEx>
        <w:trPr>
          <w:trHeight w:val="369" w:hRule="exact"/>
          <w:jc w:val="center"/>
        </w:trPr>
        <w:tc>
          <w:tcPr>
            <w:tcW w:w="1882"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Cs w:val="21"/>
              </w:rPr>
              <w:t>部门整体支出年度绩效目标（逐条填写，和部门职能对应）</w:t>
            </w:r>
          </w:p>
        </w:tc>
        <w:tc>
          <w:tcPr>
            <w:tcW w:w="86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目标1</w:t>
            </w:r>
          </w:p>
        </w:tc>
        <w:tc>
          <w:tcPr>
            <w:tcW w:w="8198" w:type="dxa"/>
            <w:gridSpan w:val="1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组织申报自治区项目资金支持重点产业园区建设及北部湾经济区重大人才专项资金</w:t>
            </w:r>
          </w:p>
        </w:tc>
      </w:tr>
      <w:tr>
        <w:tblPrEx>
          <w:tblCellMar>
            <w:top w:w="0" w:type="dxa"/>
            <w:left w:w="108" w:type="dxa"/>
            <w:bottom w:w="0" w:type="dxa"/>
            <w:right w:w="108" w:type="dxa"/>
          </w:tblCellMar>
        </w:tblPrEx>
        <w:trPr>
          <w:trHeight w:val="369"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86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目标2</w:t>
            </w:r>
          </w:p>
        </w:tc>
        <w:tc>
          <w:tcPr>
            <w:tcW w:w="8198" w:type="dxa"/>
            <w:gridSpan w:val="1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组织召开玉林、北海两市推进龙港新区规划建设联席会议</w:t>
            </w:r>
          </w:p>
        </w:tc>
      </w:tr>
      <w:tr>
        <w:tblPrEx>
          <w:tblCellMar>
            <w:top w:w="0" w:type="dxa"/>
            <w:left w:w="108" w:type="dxa"/>
            <w:bottom w:w="0" w:type="dxa"/>
            <w:right w:w="108" w:type="dxa"/>
          </w:tblCellMar>
        </w:tblPrEx>
        <w:trPr>
          <w:trHeight w:val="369"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86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目标3</w:t>
            </w:r>
          </w:p>
        </w:tc>
        <w:tc>
          <w:tcPr>
            <w:tcW w:w="8198" w:type="dxa"/>
            <w:gridSpan w:val="1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完成《玉林市北部湾经济区</w:t>
            </w:r>
            <w:r>
              <w:rPr>
                <w:rFonts w:hint="eastAsia" w:ascii="宋体" w:hAnsi="宋体" w:cs="宋体"/>
                <w:kern w:val="0"/>
                <w:sz w:val="20"/>
                <w:szCs w:val="20"/>
                <w:lang w:eastAsia="zh-CN"/>
              </w:rPr>
              <w:t>“</w:t>
            </w:r>
            <w:r>
              <w:rPr>
                <w:rFonts w:hint="eastAsia" w:ascii="宋体" w:hAnsi="宋体" w:cs="宋体"/>
                <w:kern w:val="0"/>
                <w:sz w:val="20"/>
                <w:szCs w:val="20"/>
              </w:rPr>
              <w:t>十四五</w:t>
            </w:r>
            <w:r>
              <w:rPr>
                <w:rFonts w:hint="eastAsia" w:ascii="宋体" w:hAnsi="宋体" w:cs="宋体"/>
                <w:kern w:val="0"/>
                <w:sz w:val="20"/>
                <w:szCs w:val="20"/>
                <w:lang w:eastAsia="zh-CN"/>
              </w:rPr>
              <w:t>”</w:t>
            </w:r>
            <w:r>
              <w:rPr>
                <w:rFonts w:hint="eastAsia" w:ascii="宋体" w:hAnsi="宋体" w:cs="宋体"/>
                <w:kern w:val="0"/>
                <w:sz w:val="20"/>
                <w:szCs w:val="20"/>
              </w:rPr>
              <w:t>规划》编制</w:t>
            </w:r>
          </w:p>
        </w:tc>
      </w:tr>
      <w:tr>
        <w:tblPrEx>
          <w:tblCellMar>
            <w:top w:w="0" w:type="dxa"/>
            <w:left w:w="108" w:type="dxa"/>
            <w:bottom w:w="0" w:type="dxa"/>
            <w:right w:w="108" w:type="dxa"/>
          </w:tblCellMar>
        </w:tblPrEx>
        <w:trPr>
          <w:trHeight w:val="369"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86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目标4</w:t>
            </w:r>
          </w:p>
        </w:tc>
        <w:tc>
          <w:tcPr>
            <w:tcW w:w="8198" w:type="dxa"/>
            <w:gridSpan w:val="1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跟踪做好深海排放有关工作</w:t>
            </w:r>
          </w:p>
        </w:tc>
      </w:tr>
      <w:tr>
        <w:tblPrEx>
          <w:tblCellMar>
            <w:top w:w="0" w:type="dxa"/>
            <w:left w:w="108" w:type="dxa"/>
            <w:bottom w:w="0" w:type="dxa"/>
            <w:right w:w="108" w:type="dxa"/>
          </w:tblCellMar>
        </w:tblPrEx>
        <w:trPr>
          <w:trHeight w:val="369"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86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目标5</w:t>
            </w:r>
          </w:p>
        </w:tc>
        <w:tc>
          <w:tcPr>
            <w:tcW w:w="8198" w:type="dxa"/>
            <w:gridSpan w:val="1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服务锂电项目建设</w:t>
            </w:r>
          </w:p>
        </w:tc>
      </w:tr>
      <w:tr>
        <w:tblPrEx>
          <w:tblCellMar>
            <w:top w:w="0" w:type="dxa"/>
            <w:left w:w="108" w:type="dxa"/>
            <w:bottom w:w="0" w:type="dxa"/>
            <w:right w:w="108" w:type="dxa"/>
          </w:tblCellMar>
        </w:tblPrEx>
        <w:trPr>
          <w:trHeight w:val="369"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86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目标6</w:t>
            </w:r>
          </w:p>
        </w:tc>
        <w:tc>
          <w:tcPr>
            <w:tcW w:w="8198" w:type="dxa"/>
            <w:gridSpan w:val="1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组织申报2022年度广西北部湾经济区发展专项资金（重大人才项目）工作</w:t>
            </w:r>
          </w:p>
        </w:tc>
      </w:tr>
      <w:tr>
        <w:tblPrEx>
          <w:tblCellMar>
            <w:top w:w="0" w:type="dxa"/>
            <w:left w:w="108" w:type="dxa"/>
            <w:bottom w:w="0" w:type="dxa"/>
            <w:right w:w="108" w:type="dxa"/>
          </w:tblCellMar>
        </w:tblPrEx>
        <w:trPr>
          <w:trHeight w:val="601" w:hRule="exact"/>
          <w:jc w:val="center"/>
        </w:trPr>
        <w:tc>
          <w:tcPr>
            <w:tcW w:w="188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86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目标7</w:t>
            </w:r>
          </w:p>
        </w:tc>
        <w:tc>
          <w:tcPr>
            <w:tcW w:w="8198" w:type="dxa"/>
            <w:gridSpan w:val="1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协调配合推进“一港一路一航道”（铁山港东港区榄根作业区南1—10号及1—2号泊位工程、龙腾路二期工程、铁山港东港区进港支航道工程）建设</w:t>
            </w:r>
          </w:p>
        </w:tc>
      </w:tr>
      <w:tr>
        <w:tblPrEx>
          <w:tblCellMar>
            <w:top w:w="0" w:type="dxa"/>
            <w:left w:w="108" w:type="dxa"/>
            <w:bottom w:w="0" w:type="dxa"/>
            <w:right w:w="108" w:type="dxa"/>
          </w:tblCellMar>
        </w:tblPrEx>
        <w:trPr>
          <w:trHeight w:val="369" w:hRule="exact"/>
          <w:jc w:val="center"/>
        </w:trPr>
        <w:tc>
          <w:tcPr>
            <w:tcW w:w="27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22"/>
              </w:rPr>
              <w:t>自评得分（满分100分）</w:t>
            </w:r>
          </w:p>
        </w:tc>
        <w:tc>
          <w:tcPr>
            <w:tcW w:w="406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22"/>
              </w:rPr>
              <w:t>91</w:t>
            </w:r>
          </w:p>
        </w:tc>
        <w:tc>
          <w:tcPr>
            <w:tcW w:w="186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22"/>
              </w:rPr>
              <w:t>预算执行（10分）</w:t>
            </w:r>
          </w:p>
        </w:tc>
        <w:tc>
          <w:tcPr>
            <w:tcW w:w="226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22"/>
              </w:rPr>
              <w:t>6</w:t>
            </w:r>
          </w:p>
        </w:tc>
      </w:tr>
      <w:tr>
        <w:tblPrEx>
          <w:tblCellMar>
            <w:top w:w="0" w:type="dxa"/>
            <w:left w:w="108" w:type="dxa"/>
            <w:bottom w:w="0" w:type="dxa"/>
            <w:right w:w="108" w:type="dxa"/>
          </w:tblCellMar>
        </w:tblPrEx>
        <w:trPr>
          <w:trHeight w:val="519" w:hRule="exact"/>
          <w:jc w:val="center"/>
        </w:trPr>
        <w:tc>
          <w:tcPr>
            <w:tcW w:w="113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部门整体支出年度绩效目标衡量指标</w:t>
            </w:r>
          </w:p>
        </w:tc>
        <w:tc>
          <w:tcPr>
            <w:tcW w:w="161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22"/>
              </w:rPr>
              <w:t>一级指标</w:t>
            </w:r>
          </w:p>
        </w:tc>
        <w:tc>
          <w:tcPr>
            <w:tcW w:w="68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22"/>
              </w:rPr>
              <w:t>二级指标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18"/>
                <w:szCs w:val="18"/>
              </w:rPr>
              <w:t>指标内容</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18"/>
                <w:szCs w:val="18"/>
              </w:rPr>
              <w:t>指标值</w:t>
            </w:r>
          </w:p>
        </w:tc>
        <w:tc>
          <w:tcPr>
            <w:tcW w:w="4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18"/>
                <w:szCs w:val="18"/>
              </w:rPr>
              <w:t>分值</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18"/>
                <w:szCs w:val="18"/>
              </w:rPr>
              <w:t>实际完成值</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18"/>
                <w:szCs w:val="18"/>
              </w:rPr>
              <w:t>得分</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18"/>
                <w:szCs w:val="18"/>
              </w:rPr>
              <w:t>完成情况简要描述</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2"/>
              </w:rPr>
            </w:pPr>
            <w:r>
              <w:rPr>
                <w:rFonts w:hint="eastAsia" w:ascii="宋体" w:hAnsi="宋体" w:cs="宋体"/>
                <w:b/>
                <w:bCs/>
                <w:kern w:val="0"/>
                <w:sz w:val="18"/>
                <w:szCs w:val="18"/>
              </w:rPr>
              <w:t>偏差原因及改进措施</w:t>
            </w:r>
          </w:p>
        </w:tc>
      </w:tr>
      <w:tr>
        <w:tblPrEx>
          <w:tblCellMar>
            <w:top w:w="0" w:type="dxa"/>
            <w:left w:w="108" w:type="dxa"/>
            <w:bottom w:w="0" w:type="dxa"/>
            <w:right w:w="108" w:type="dxa"/>
          </w:tblCellMar>
        </w:tblPrEx>
        <w:trPr>
          <w:trHeight w:val="739"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kern w:val="0"/>
                <w:sz w:val="22"/>
              </w:rPr>
            </w:pPr>
            <w:r>
              <w:rPr>
                <w:rFonts w:hint="eastAsia" w:ascii="宋体" w:hAnsi="宋体" w:cs="宋体"/>
                <w:b/>
                <w:bCs/>
                <w:kern w:val="0"/>
                <w:sz w:val="22"/>
              </w:rPr>
              <w:t>产出指标</w:t>
            </w:r>
            <w:r>
              <w:rPr>
                <w:rFonts w:hint="eastAsia" w:ascii="宋体" w:hAnsi="宋体" w:cs="宋体"/>
                <w:b/>
                <w:kern w:val="0"/>
                <w:sz w:val="22"/>
              </w:rPr>
              <w:t>（50分）</w:t>
            </w:r>
          </w:p>
        </w:tc>
        <w:tc>
          <w:tcPr>
            <w:tcW w:w="68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数量指标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组织召开玉林、北海两市推进龙港新区规划建设联席会议</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2次</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3</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577"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数量指标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完成《</w:t>
            </w:r>
            <w:r>
              <w:rPr>
                <w:rFonts w:hint="eastAsia" w:cs="宋体" w:asciiTheme="minorEastAsia" w:hAnsiTheme="minorEastAsia" w:eastAsiaTheme="minorEastAsia"/>
                <w:kern w:val="0"/>
                <w:sz w:val="18"/>
                <w:szCs w:val="18"/>
              </w:rPr>
              <w:t>玉林市高铁枢纽站周边区域二期控制性详细规划</w:t>
            </w:r>
            <w:r>
              <w:rPr>
                <w:rFonts w:hint="eastAsia" w:ascii="宋体" w:hAnsi="宋体" w:cs="宋体"/>
                <w:kern w:val="0"/>
                <w:sz w:val="18"/>
                <w:szCs w:val="18"/>
              </w:rPr>
              <w:t>》编制</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1份</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5</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已完成评审稿</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CellMar>
            <w:top w:w="0" w:type="dxa"/>
            <w:left w:w="108" w:type="dxa"/>
            <w:bottom w:w="0" w:type="dxa"/>
            <w:right w:w="108" w:type="dxa"/>
          </w:tblCellMar>
        </w:tblPrEx>
        <w:trPr>
          <w:trHeight w:val="1285"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0"/>
                <w:szCs w:val="20"/>
              </w:rPr>
              <w:t>数量指标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实地检查督促，推进“一港一路一航道”建设，了解推进过程中存在的困难和问题。</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4次</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r>
      <w:tr>
        <w:tblPrEx>
          <w:tblCellMar>
            <w:top w:w="0" w:type="dxa"/>
            <w:left w:w="108" w:type="dxa"/>
            <w:bottom w:w="0" w:type="dxa"/>
            <w:right w:w="108" w:type="dxa"/>
          </w:tblCellMar>
        </w:tblPrEx>
        <w:trPr>
          <w:trHeight w:val="1417"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0"/>
                <w:szCs w:val="20"/>
              </w:rPr>
              <w:t>数量指标</w:t>
            </w:r>
            <w:r>
              <w:rPr>
                <w:rFonts w:hint="eastAsia" w:ascii="宋体" w:hAnsi="宋体" w:cs="宋体"/>
                <w:kern w:val="0"/>
                <w:sz w:val="22"/>
              </w:rPr>
              <w:t>　</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做好玉林北海两市政府协调会议前期准备工作，协调解决推进码头、航道、公路建设等事项存在的问题和困难。</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4次</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r>
      <w:tr>
        <w:tblPrEx>
          <w:tblCellMar>
            <w:top w:w="0" w:type="dxa"/>
            <w:left w:w="108" w:type="dxa"/>
            <w:bottom w:w="0" w:type="dxa"/>
            <w:right w:w="108" w:type="dxa"/>
          </w:tblCellMar>
        </w:tblPrEx>
        <w:trPr>
          <w:trHeight w:val="567"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0"/>
                <w:szCs w:val="20"/>
              </w:rPr>
              <w:t>数量指标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跟踪掌握项目推进进度</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2"/>
              </w:rPr>
            </w:pPr>
            <w:r>
              <w:rPr>
                <w:rFonts w:hint="eastAsia" w:ascii="宋体" w:hAnsi="宋体" w:cs="宋体"/>
                <w:kern w:val="0"/>
                <w:sz w:val="22"/>
              </w:rPr>
              <w:t>4次</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bookmarkStart w:id="0" w:name="_GoBack"/>
            <w:bookmarkEnd w:id="0"/>
            <w:r>
              <w:rPr>
                <w:rFonts w:hint="eastAsia" w:ascii="宋体" w:hAnsi="宋体" w:cs="宋体"/>
                <w:kern w:val="0"/>
                <w:sz w:val="18"/>
                <w:szCs w:val="18"/>
              </w:rPr>
              <w:t>5</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CellMar>
            <w:top w:w="0" w:type="dxa"/>
            <w:left w:w="108" w:type="dxa"/>
            <w:bottom w:w="0" w:type="dxa"/>
            <w:right w:w="108" w:type="dxa"/>
          </w:tblCellMar>
        </w:tblPrEx>
        <w:trPr>
          <w:trHeight w:val="703"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质量指标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完成《玉林市北部湾经济区</w:t>
            </w:r>
            <w:r>
              <w:rPr>
                <w:rFonts w:hint="eastAsia" w:cs="宋体" w:asciiTheme="minorEastAsia" w:hAnsiTheme="minorEastAsia" w:eastAsiaTheme="minorEastAsia"/>
                <w:kern w:val="0"/>
                <w:sz w:val="18"/>
                <w:szCs w:val="18"/>
                <w:lang w:eastAsia="zh-CN"/>
              </w:rPr>
              <w:t>“</w:t>
            </w:r>
            <w:r>
              <w:rPr>
                <w:rFonts w:hint="eastAsia" w:cs="宋体" w:asciiTheme="minorEastAsia" w:hAnsiTheme="minorEastAsia" w:eastAsiaTheme="minorEastAsia"/>
                <w:kern w:val="0"/>
                <w:sz w:val="18"/>
                <w:szCs w:val="18"/>
              </w:rPr>
              <w:t>十四五</w:t>
            </w:r>
            <w:r>
              <w:rPr>
                <w:rFonts w:hint="eastAsia" w:cs="宋体" w:asciiTheme="minorEastAsia" w:hAnsiTheme="minorEastAsia" w:eastAsiaTheme="minorEastAsia"/>
                <w:kern w:val="0"/>
                <w:sz w:val="18"/>
                <w:szCs w:val="18"/>
                <w:lang w:eastAsia="zh-CN"/>
              </w:rPr>
              <w:t>”</w:t>
            </w:r>
            <w:r>
              <w:rPr>
                <w:rFonts w:hint="eastAsia" w:cs="宋体" w:asciiTheme="minorEastAsia" w:hAnsiTheme="minorEastAsia" w:eastAsiaTheme="minorEastAsia"/>
                <w:kern w:val="0"/>
                <w:sz w:val="18"/>
                <w:szCs w:val="18"/>
              </w:rPr>
              <w:t>规划》编制</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1份</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已完成评审稿</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717"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质量指标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掌握跟踪推进项目建设质量达标率及有关项目监测报告。</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90%</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出具了项目监测报告</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563"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时效指标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年内完成服务项目率</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118"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nil"/>
              <w:left w:val="nil"/>
              <w:bottom w:val="single" w:color="auto" w:sz="4" w:space="0"/>
              <w:right w:val="single" w:color="auto" w:sz="4" w:space="0"/>
            </w:tcBorders>
          </w:tcPr>
          <w:p>
            <w:pPr>
              <w:spacing w:line="240" w:lineRule="exact"/>
              <w:jc w:val="center"/>
              <w:rPr>
                <w:rFonts w:cs="宋体" w:asciiTheme="minorEastAsia" w:hAnsiTheme="minorEastAsia" w:eastAsiaTheme="minorEastAsia"/>
                <w:kern w:val="0"/>
                <w:sz w:val="18"/>
                <w:szCs w:val="18"/>
              </w:rPr>
            </w:pPr>
          </w:p>
          <w:p>
            <w:pPr>
              <w:spacing w:line="240" w:lineRule="exact"/>
              <w:jc w:val="center"/>
            </w:pPr>
            <w:r>
              <w:rPr>
                <w:rFonts w:hint="eastAsia" w:cs="宋体" w:asciiTheme="minorEastAsia" w:hAnsiTheme="minorEastAsia" w:eastAsiaTheme="minorEastAsia"/>
                <w:kern w:val="0"/>
                <w:sz w:val="18"/>
                <w:szCs w:val="18"/>
              </w:rPr>
              <w:t>时效指标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完成《玉林市高铁枢纽站周边区域二期控制性详细规划》课题编制及时率</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已完成81%</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已完成支付81%，规划成果已报规委会待审后拨付尾款</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565"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nil"/>
              <w:left w:val="nil"/>
              <w:bottom w:val="single" w:color="auto" w:sz="4" w:space="0"/>
              <w:right w:val="single" w:color="auto" w:sz="4" w:space="0"/>
            </w:tcBorders>
          </w:tcPr>
          <w:p>
            <w:pPr>
              <w:spacing w:line="240" w:lineRule="exact"/>
              <w:jc w:val="center"/>
            </w:pPr>
            <w:r>
              <w:rPr>
                <w:rFonts w:hint="eastAsia" w:cs="宋体" w:asciiTheme="minorEastAsia" w:hAnsiTheme="minorEastAsia" w:eastAsiaTheme="minorEastAsia"/>
                <w:kern w:val="0"/>
                <w:sz w:val="18"/>
                <w:szCs w:val="18"/>
              </w:rPr>
              <w:t>时效指标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组织召开两市联席会议完成率</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979"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成本指标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落实专项资金投入</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6"/>
                <w:szCs w:val="16"/>
              </w:rPr>
            </w:pPr>
            <w:r>
              <w:rPr>
                <w:rFonts w:hint="eastAsia" w:cs="宋体" w:asciiTheme="minorEastAsia" w:hAnsiTheme="minorEastAsia" w:eastAsiaTheme="minorEastAsia"/>
                <w:kern w:val="0"/>
                <w:sz w:val="16"/>
                <w:szCs w:val="16"/>
              </w:rPr>
              <w:t>1375.62万元</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已支付702.49万元已完成51.07%</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财政资金使用计划原因，未能及时拨付</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863"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kern w:val="0"/>
                <w:sz w:val="22"/>
              </w:rPr>
            </w:pPr>
            <w:r>
              <w:rPr>
                <w:rFonts w:hint="eastAsia" w:ascii="宋体" w:hAnsi="宋体" w:cs="宋体"/>
                <w:b/>
                <w:bCs/>
                <w:kern w:val="0"/>
                <w:sz w:val="22"/>
              </w:rPr>
              <w:t>效果指标</w:t>
            </w:r>
            <w:r>
              <w:rPr>
                <w:rFonts w:hint="eastAsia" w:ascii="宋体" w:hAnsi="宋体" w:cs="宋体"/>
                <w:b/>
                <w:kern w:val="0"/>
                <w:sz w:val="22"/>
              </w:rPr>
              <w:t>（30分）</w:t>
            </w:r>
          </w:p>
        </w:tc>
        <w:tc>
          <w:tcPr>
            <w:tcW w:w="685" w:type="dxa"/>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经济效益指标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码头建设</w:t>
            </w:r>
          </w:p>
        </w:tc>
        <w:tc>
          <w:tcPr>
            <w:tcW w:w="709" w:type="dxa"/>
            <w:tcBorders>
              <w:top w:val="nil"/>
              <w:left w:val="nil"/>
              <w:bottom w:val="single" w:color="auto" w:sz="4" w:space="0"/>
              <w:right w:val="single" w:color="auto" w:sz="4" w:space="0"/>
            </w:tcBorders>
            <w:vAlign w:val="center"/>
          </w:tcPr>
          <w:p>
            <w:pPr>
              <w:widowControl/>
              <w:spacing w:line="220" w:lineRule="exact"/>
              <w:jc w:val="center"/>
              <w:rPr>
                <w:rFonts w:cs="宋体" w:asciiTheme="minorEastAsia" w:hAnsiTheme="minorEastAsia" w:eastAsiaTheme="minorEastAsia"/>
                <w:kern w:val="0"/>
                <w:sz w:val="16"/>
                <w:szCs w:val="16"/>
              </w:rPr>
            </w:pPr>
            <w:r>
              <w:rPr>
                <w:rFonts w:hint="eastAsia" w:cs="宋体" w:asciiTheme="minorEastAsia" w:hAnsiTheme="minorEastAsia" w:eastAsiaTheme="minorEastAsia"/>
                <w:kern w:val="0"/>
                <w:sz w:val="16"/>
                <w:szCs w:val="16"/>
              </w:rPr>
              <w:t>推动后续经济发展</w:t>
            </w:r>
          </w:p>
        </w:tc>
        <w:tc>
          <w:tcPr>
            <w:tcW w:w="401" w:type="dxa"/>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推动后续经济发展</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833"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single" w:color="auto" w:sz="4" w:space="0"/>
              <w:left w:val="nil"/>
              <w:bottom w:val="single" w:color="auto" w:sz="4" w:space="0"/>
              <w:right w:val="single" w:color="auto" w:sz="4" w:space="0"/>
            </w:tcBorders>
          </w:tcPr>
          <w:p>
            <w:pPr>
              <w:spacing w:line="240" w:lineRule="exact"/>
            </w:pPr>
            <w:r>
              <w:rPr>
                <w:rFonts w:hint="eastAsia" w:cs="宋体" w:asciiTheme="minorEastAsia" w:hAnsiTheme="minorEastAsia" w:eastAsiaTheme="minorEastAsia"/>
                <w:kern w:val="0"/>
                <w:sz w:val="18"/>
                <w:szCs w:val="18"/>
              </w:rPr>
              <w:t>经济效益指标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外贸适箱货物海运补助减少企业物流支出</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改善</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资金拨付到位，有利于公司运营的发展</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987"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single" w:color="auto" w:sz="4" w:space="0"/>
              <w:left w:val="nil"/>
              <w:bottom w:val="single" w:color="auto" w:sz="4" w:space="0"/>
              <w:right w:val="single" w:color="auto" w:sz="4" w:space="0"/>
            </w:tcBorders>
          </w:tcPr>
          <w:p>
            <w:pPr>
              <w:spacing w:line="240" w:lineRule="exact"/>
            </w:pPr>
            <w:r>
              <w:rPr>
                <w:rFonts w:hint="eastAsia" w:cs="宋体" w:asciiTheme="minorEastAsia" w:hAnsiTheme="minorEastAsia" w:eastAsiaTheme="minorEastAsia"/>
                <w:kern w:val="0"/>
                <w:sz w:val="18"/>
                <w:szCs w:val="18"/>
              </w:rPr>
              <w:t>经济效益指标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高铁枢纽站处区建设发展规划</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改善</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规划对高铁站枢纽站周边区域的建设做出布置安排</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270"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社会效益指标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高铁新城作为玉林最重要的铁路、公路、城市交通和物流运输综合枢纽基地，将承担起玉林综合交通枢纽的核心功能</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完善</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规划将指导高铁枢纽站周边区域发展</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841"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生态效益指标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铁山港东港区榄根作业区红树林生态监测</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改善环境</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出具了生态监测报告</w:t>
            </w: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841"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生态效益指标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高铁新城合理规划城市绿化、改善生态环境、维持城市生态平衡</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改善</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016"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可持续影响指标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指导高铁站与配套设施、高新产业、高等教育等设施聚集推动经济发展</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改善</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016"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kern w:val="0"/>
                <w:sz w:val="22"/>
              </w:rPr>
            </w:pPr>
          </w:p>
        </w:tc>
        <w:tc>
          <w:tcPr>
            <w:tcW w:w="6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可持续影响指标</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码头建设，改善生态环境，推动后续经济发展</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改善</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709"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kern w:val="0"/>
                <w:sz w:val="22"/>
              </w:rPr>
            </w:pPr>
            <w:r>
              <w:rPr>
                <w:rFonts w:hint="eastAsia" w:ascii="宋体" w:hAnsi="宋体" w:cs="宋体"/>
                <w:b/>
                <w:kern w:val="0"/>
                <w:sz w:val="22"/>
              </w:rPr>
              <w:t>社会公众或服务对象满意度（10分）</w:t>
            </w:r>
          </w:p>
        </w:tc>
        <w:tc>
          <w:tcPr>
            <w:tcW w:w="685" w:type="dxa"/>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享受补助企业及群众落意度</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90分</w:t>
            </w: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已完成</w:t>
            </w: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w:t>
            </w: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410" w:hRule="exact"/>
          <w:jc w:val="center"/>
        </w:trPr>
        <w:tc>
          <w:tcPr>
            <w:tcW w:w="113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6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685" w:type="dxa"/>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2268"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c>
          <w:tcPr>
            <w:tcW w:w="40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c>
          <w:tcPr>
            <w:tcW w:w="733" w:type="dxa"/>
            <w:gridSpan w:val="3"/>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eastAsiaTheme="minorEastAsia"/>
                <w:kern w:val="0"/>
                <w:sz w:val="18"/>
                <w:szCs w:val="18"/>
              </w:rPr>
            </w:pPr>
          </w:p>
        </w:tc>
        <w:tc>
          <w:tcPr>
            <w:tcW w:w="1417" w:type="dxa"/>
            <w:gridSpan w:val="2"/>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kern w:val="0"/>
                <w:sz w:val="18"/>
                <w:szCs w:val="18"/>
              </w:rPr>
            </w:pPr>
          </w:p>
        </w:tc>
      </w:tr>
    </w:tbl>
    <w:p>
      <w:pPr>
        <w:spacing w:line="320" w:lineRule="exac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A56D9"/>
    <w:rsid w:val="00032AE8"/>
    <w:rsid w:val="00064B2F"/>
    <w:rsid w:val="00076715"/>
    <w:rsid w:val="000D214E"/>
    <w:rsid w:val="000D35C2"/>
    <w:rsid w:val="00226FC8"/>
    <w:rsid w:val="0026663E"/>
    <w:rsid w:val="00320140"/>
    <w:rsid w:val="003226B4"/>
    <w:rsid w:val="00364D6B"/>
    <w:rsid w:val="003C2412"/>
    <w:rsid w:val="004051DE"/>
    <w:rsid w:val="004A07ED"/>
    <w:rsid w:val="004E524A"/>
    <w:rsid w:val="005B1D2C"/>
    <w:rsid w:val="006E61D3"/>
    <w:rsid w:val="007B215D"/>
    <w:rsid w:val="007C2B43"/>
    <w:rsid w:val="008379A5"/>
    <w:rsid w:val="008478C6"/>
    <w:rsid w:val="00852DEE"/>
    <w:rsid w:val="008E443B"/>
    <w:rsid w:val="009062CF"/>
    <w:rsid w:val="00912672"/>
    <w:rsid w:val="009B7516"/>
    <w:rsid w:val="009C748C"/>
    <w:rsid w:val="00A15BE2"/>
    <w:rsid w:val="00A605A3"/>
    <w:rsid w:val="00AA17CB"/>
    <w:rsid w:val="00AC60B5"/>
    <w:rsid w:val="00B22EE0"/>
    <w:rsid w:val="00B9404F"/>
    <w:rsid w:val="00BA0FDF"/>
    <w:rsid w:val="00C2146E"/>
    <w:rsid w:val="00C73E25"/>
    <w:rsid w:val="00C86754"/>
    <w:rsid w:val="00C93B56"/>
    <w:rsid w:val="00CA56D9"/>
    <w:rsid w:val="00D05169"/>
    <w:rsid w:val="00DB428E"/>
    <w:rsid w:val="00DB6AF7"/>
    <w:rsid w:val="00DB7559"/>
    <w:rsid w:val="00E21B03"/>
    <w:rsid w:val="00E71AAE"/>
    <w:rsid w:val="00EB0B23"/>
    <w:rsid w:val="00F30B5C"/>
    <w:rsid w:val="1EF53E89"/>
    <w:rsid w:val="DDEB7909"/>
    <w:rsid w:val="FE73EA05"/>
    <w:rsid w:val="FFF827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1919</Characters>
  <Lines>15</Lines>
  <Paragraphs>4</Paragraphs>
  <TotalTime>0</TotalTime>
  <ScaleCrop>false</ScaleCrop>
  <LinksUpToDate>false</LinksUpToDate>
  <CharactersWithSpaces>2251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2023-03-04T02:15:00Z</dcterms:created>
  <dc:creator>阙小平</dc:creator>
  <cp:lastModifiedBy>冯维朝</cp:lastModifiedBy>
  <cp:lastPrinted>2023-03-04T08:36:00Z</cp:lastPrinted>
  <dcterms:modified xsi:type="dcterms:W3CDTF">2024-06-05T16:48:47Z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